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Session 3: Designing a Literacy-Focused Classroom</w:t>
      </w:r>
    </w:p>
    <w:p>
      <w:pPr>
        <w:spacing w:lineRule="auto"/>
      </w:pPr>
      <w:r>
        <w:rPr/>
        <w:t xml:space="preserve">Read this online at </w:t>
      </w:r>
      <w:hyperlink r:id="rId6">
        <w:r>
          <w:rPr>
            <w:rStyle w:val="Hyperlink"/>
          </w:rPr>
          <w:t xml:space="preserve">https://equitypress.org/second_language_literacy/session_3_designing_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equitypress.org/second_language_literacy/session_3_designing_" TargetMode="External"/>
  <Relationship Id="rId7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2026-05-19T21:28:39.196Z</dcterms:created>
  <dcterms:modified xsi:type="dcterms:W3CDTF">2026-05-19T21:28:39.196Z</dcterms:modified>
</cp:coreProperties>
</file>